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/>
      </w:pPr>
      <w:r>
        <w:rPr/>
        <w:t>Приложение №__ к договору подряда</w:t>
      </w:r>
    </w:p>
    <w:p>
      <w:pPr>
        <w:pStyle w:val="Normal"/>
        <w:ind w:left="-113" w:firstLine="821"/>
        <w:jc w:val="right"/>
        <w:rPr>
          <w:rFonts w:cs="Arial"/>
          <w:b/>
          <w:b/>
        </w:rPr>
      </w:pPr>
      <w:r>
        <w:rPr>
          <w:rFonts w:cs="Arial"/>
          <w:b/>
        </w:rPr>
        <w:t xml:space="preserve">                                                                                   №</w:t>
      </w:r>
      <w:r>
        <w:rPr>
          <w:rFonts w:cs="Arial"/>
          <w:b/>
        </w:rPr>
        <w:t>_________________от_________</w:t>
      </w:r>
    </w:p>
    <w:p>
      <w:pPr>
        <w:pStyle w:val="Normal"/>
        <w:ind w:left="-113" w:firstLine="821"/>
        <w:jc w:val="right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ind w:left="-113" w:firstLine="821"/>
        <w:jc w:val="right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ind w:left="-113" w:firstLine="821"/>
        <w:jc w:val="right"/>
        <w:rPr/>
      </w:pPr>
      <w:r>
        <w:rPr>
          <w:rFonts w:cs="Arial"/>
          <w:b/>
        </w:rPr>
        <w:t xml:space="preserve">                                                                      </w:t>
      </w:r>
      <w:r>
        <w:rPr>
          <w:rFonts w:cs="Arial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Arial"/>
        </w:rPr>
        <w:tab/>
        <w:tab/>
        <w:t xml:space="preserve">                                    </w:t>
      </w:r>
      <w:r>
        <w:rPr>
          <w:rFonts w:cs="Tahoma"/>
        </w:rPr>
        <w:t>Главный управляющий директор                                            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/>
      </w:pP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1"/>
        <w:rPr/>
      </w:pPr>
      <w:r>
        <w:rPr>
          <w:rFonts w:cs="Tahoma" w:ascii="Times New Roman" w:hAnsi="Times New Roman"/>
        </w:rPr>
        <w:t>ТЕХНИЧЕСКОЕ ЗАДАНИЕ № СКС-2021-ИП-ХВ-1.3.2</w:t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/>
      </w:pPr>
      <w:r>
        <w:rPr>
          <w:rFonts w:cs="Tahoma"/>
        </w:rPr>
        <w:t>На выполнение строительно-монтажных работ по объекту</w:t>
      </w:r>
    </w:p>
    <w:p>
      <w:pPr>
        <w:pStyle w:val="Normal"/>
        <w:jc w:val="center"/>
        <w:rPr/>
      </w:pPr>
      <w:r>
        <w:rPr>
          <w:rFonts w:cs="Tahoma"/>
        </w:rPr>
        <w:t>«Организация узлов измерения на водопроводных сетях и сооружениях»</w:t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tbl>
      <w:tblPr>
        <w:tblW w:w="10209" w:type="dxa"/>
        <w:jc w:val="left"/>
        <w:tblInd w:w="-492" w:type="dxa"/>
        <w:tblCellMar>
          <w:top w:w="0" w:type="dxa"/>
          <w:left w:w="48" w:type="dxa"/>
          <w:bottom w:w="0" w:type="dxa"/>
          <w:right w:w="108" w:type="dxa"/>
        </w:tblCellMar>
        <w:tblLook w:val="0000"/>
      </w:tblPr>
      <w:tblGrid>
        <w:gridCol w:w="540"/>
        <w:gridCol w:w="3375"/>
        <w:gridCol w:w="6294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 xml:space="preserve">№ </w:t>
            </w:r>
            <w:r>
              <w:rPr>
                <w:rFonts w:cs="Arial"/>
              </w:rPr>
              <w:t>п/п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Перечень основных данных и требований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jc w:val="both"/>
              <w:rPr/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ИНН 6312110828 КПП 631050001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действует на основании доверенности № 20 от 20.02.2021г.     т.+7(846)336-14-02, факс +7(846)336-89-05</w:t>
            </w:r>
          </w:p>
          <w:p>
            <w:pPr>
              <w:pStyle w:val="Normal"/>
              <w:snapToGrid w:val="false"/>
              <w:spacing w:before="0" w:after="40"/>
              <w:jc w:val="both"/>
              <w:rPr/>
            </w:pPr>
            <w:r>
              <w:rPr>
                <w:rFonts w:cs="Tahoma"/>
                <w:sz w:val="24"/>
                <w:szCs w:val="24"/>
                <w:lang w:val="en-US"/>
              </w:rPr>
              <w:t xml:space="preserve">е-mail: </w:t>
            </w:r>
            <w:hyperlink r:id="rId2">
              <w:r>
                <w:rPr>
                  <w:rStyle w:val="Style13"/>
                  <w:rFonts w:cs="Tahoma"/>
                  <w:color w:val="00000A"/>
                  <w:sz w:val="24"/>
                  <w:szCs w:val="24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Основание для проведения работ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</w:rPr>
              <w:t>Инвестиционная программа ООО «Самарские коммунальные системы».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 xml:space="preserve">Наименование и местоположение объекта 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16"/>
              <w:keepLines/>
              <w:widowControl/>
              <w:bidi w:val="0"/>
              <w:spacing w:lineRule="auto" w:line="240" w:before="57" w:after="0"/>
              <w:ind w:left="57" w:right="57" w:hanging="0"/>
              <w:jc w:val="both"/>
              <w:rPr/>
            </w:pPr>
            <w:r>
              <w:rPr>
                <w:rFonts w:cs="Arial" w:ascii="Times New Roman" w:hAnsi="Times New Roman"/>
                <w:color w:val="00000A"/>
                <w:sz w:val="24"/>
                <w:szCs w:val="24"/>
              </w:rPr>
              <w:t xml:space="preserve">г. Самара, </w:t>
            </w:r>
            <w:r>
              <w:rPr>
                <w:rFonts w:eastAsia="Times New Roman" w:cs="Arial" w:ascii="Times New Roman" w:hAnsi="Times New Roman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в границах улиц Советской Армии, ул. 22 Партсъезда, ул. Антонова-Овсеенко. </w:t>
            </w:r>
            <w:r>
              <w:rPr>
                <w:rFonts w:eastAsia="Times New Roman" w:cs="Arial" w:ascii="Times New Roman" w:hAnsi="Times New Roman"/>
                <w:color w:val="00000A"/>
                <w:kern w:val="0"/>
                <w:sz w:val="24"/>
                <w:szCs w:val="24"/>
                <w:lang w:val="ru-RU" w:eastAsia="ru-RU" w:bidi="ar-SA"/>
              </w:rPr>
              <w:t>т</w:t>
            </w:r>
            <w:r>
              <w:rPr>
                <w:rFonts w:eastAsia="Times New Roman" w:cs="Arial" w:ascii="Times New Roman" w:hAnsi="Times New Roman"/>
                <w:color w:val="00000A"/>
                <w:kern w:val="0"/>
                <w:sz w:val="24"/>
                <w:szCs w:val="24"/>
                <w:lang w:val="ru-RU" w:eastAsia="ru-RU" w:bidi="ar-SA"/>
              </w:rPr>
              <w:t>ерритория понизительных РЧВ 4-ой зоны.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Источник финансирования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40"/>
              <w:jc w:val="both"/>
              <w:rPr/>
            </w:pPr>
            <w:r>
              <w:rPr>
                <w:rFonts w:cs="Tahoma"/>
                <w:bCs/>
              </w:rPr>
              <w:t>Инвестиционная составляющая тарифа на холодное водоснабжение.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Цель и назначение работы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Организация узлов учета измерения на водопроводных сетях и сооружениях: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sz w:val="24"/>
                <w:szCs w:val="24"/>
                <w:highlight w:val="white"/>
              </w:rPr>
              <w:t>установка узлов учета в количестве 4 шт. на следующих водоводах на территории понизительных РЧВ 4-ой зоны:</w:t>
            </w:r>
          </w:p>
          <w:p>
            <w:pPr>
              <w:pStyle w:val="Normal"/>
              <w:widowControl/>
              <w:bidi w:val="0"/>
              <w:spacing w:lineRule="auto" w:line="240" w:before="57" w:after="0"/>
              <w:ind w:left="57" w:right="57" w:hanging="0"/>
              <w:jc w:val="both"/>
              <w:rPr/>
            </w:pPr>
            <w:r>
              <w:rPr>
                <w:rFonts w:cs="Tahoma"/>
                <w:sz w:val="24"/>
                <w:szCs w:val="24"/>
                <w:highlight w:val="white"/>
              </w:rPr>
              <w:t>- В-38 Ду-900 мм;</w:t>
            </w:r>
          </w:p>
          <w:p>
            <w:pPr>
              <w:pStyle w:val="Normal"/>
              <w:widowControl/>
              <w:bidi w:val="0"/>
              <w:spacing w:lineRule="auto" w:line="240" w:before="57" w:after="0"/>
              <w:ind w:left="57" w:right="57" w:hanging="0"/>
              <w:jc w:val="both"/>
              <w:rPr/>
            </w:pPr>
            <w:r>
              <w:rPr>
                <w:rFonts w:cs="Tahoma"/>
                <w:sz w:val="24"/>
                <w:szCs w:val="24"/>
                <w:highlight w:val="white"/>
              </w:rPr>
              <w:t>- В-40 Ду-600 мм;</w:t>
            </w:r>
          </w:p>
          <w:p>
            <w:pPr>
              <w:pStyle w:val="Normal"/>
              <w:widowControl/>
              <w:bidi w:val="0"/>
              <w:spacing w:lineRule="auto" w:line="240" w:before="57" w:after="0"/>
              <w:ind w:left="57" w:right="57" w:hanging="0"/>
              <w:jc w:val="both"/>
              <w:rPr/>
            </w:pPr>
            <w:r>
              <w:rPr>
                <w:rFonts w:cs="Tahoma"/>
                <w:sz w:val="24"/>
                <w:szCs w:val="24"/>
                <w:highlight w:val="white"/>
              </w:rPr>
              <w:t>- В-39 Ду-800 мм;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sz w:val="24"/>
                <w:szCs w:val="24"/>
                <w:highlight w:val="white"/>
              </w:rPr>
              <w:t xml:space="preserve"> </w:t>
            </w:r>
            <w:r>
              <w:rPr>
                <w:rFonts w:cs="Tahoma"/>
                <w:sz w:val="24"/>
                <w:szCs w:val="24"/>
                <w:highlight w:val="white"/>
              </w:rPr>
              <w:t>- В-44 Ду-500 мм.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bookmarkStart w:id="0" w:name="__DdeLink__2870_3546885311"/>
            <w:bookmarkEnd w:id="0"/>
            <w:r>
              <w:rPr>
                <w:rFonts w:cs="Tahoma"/>
              </w:rPr>
              <w:t xml:space="preserve">В соответствии с проектами: 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ПР-ИР-20-АС;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ПР-ИР-20-АСУУ;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ПР-ИР-20-ПНР.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Режим работы производства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sz w:val="20"/>
              </w:rPr>
            </w:pPr>
            <w:r>
              <w:rPr>
                <w:rFonts w:ascii="Times New Roman" w:hAnsi="Times New Roman"/>
              </w:rPr>
              <w:t>Непрерывный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Состав работ, выполняемых заказчиком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/>
            </w:pPr>
            <w:r>
              <w:rPr>
                <w:rFonts w:cs="Arial" w:ascii="Times New Roman" w:hAnsi="Times New Roman"/>
                <w:sz w:val="24"/>
                <w:szCs w:val="24"/>
              </w:rPr>
              <w:t xml:space="preserve">Предоставление проектов: </w:t>
            </w:r>
            <w:r>
              <w:rPr>
                <w:rFonts w:cs="Tahoma" w:ascii="Times New Roman" w:hAnsi="Times New Roman"/>
                <w:sz w:val="24"/>
                <w:szCs w:val="24"/>
              </w:rPr>
              <w:t>ПР-ИР-20-АС, ПР-ИР-20-АСУУ, ПР-ИР-20-ПНР и сметной документации.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Состав и вид работ, выполняемых подрядчиком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66" w:hanging="66"/>
              <w:contextualSpacing/>
              <w:jc w:val="both"/>
              <w:rPr/>
            </w:pPr>
            <w:r>
              <w:rPr>
                <w:rFonts w:cs="Tahoma"/>
              </w:rPr>
              <w:t xml:space="preserve">В соответствии с проектами: </w:t>
            </w:r>
            <w:r>
              <w:rPr>
                <w:rFonts w:cs="Tahoma"/>
                <w:sz w:val="24"/>
                <w:szCs w:val="24"/>
              </w:rPr>
              <w:t>ПР-ИР-20-АС, ПР-ИР-20-АСУУ, ПР-ИР-20-ПНР</w:t>
            </w:r>
            <w:r>
              <w:rPr>
                <w:rFonts w:cs="Tahoma"/>
              </w:rPr>
              <w:t xml:space="preserve"> и объемами, указанными в сметной документации.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/>
              </w:rPr>
              <w:t xml:space="preserve">Поставку материалов осуществляет подрядчик. </w:t>
            </w:r>
            <w:r>
              <w:rPr>
                <w:rFonts w:cs="Tahoma"/>
              </w:rPr>
              <w:t xml:space="preserve">Тип и наименование – в соответствии с согласованными проектами: </w:t>
            </w:r>
            <w:r>
              <w:rPr>
                <w:rFonts w:cs="Tahoma"/>
                <w:sz w:val="24"/>
                <w:szCs w:val="24"/>
              </w:rPr>
              <w:t xml:space="preserve">ПР-ИР-20-АС, ПР-ИР-20-АСУУ, ПР-ИР-20-ПНР. </w:t>
            </w:r>
            <w:r>
              <w:rPr>
                <w:rFonts w:cs="Tahoma"/>
                <w:color w:val="00000A"/>
                <w:sz w:val="24"/>
                <w:szCs w:val="24"/>
                <w:highlight w:val="white"/>
              </w:rPr>
              <w:t>Гарантийный срок на электрооборудование должен составлять не менее 5 лет.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Гарантия качества на запорную арматуру — 10 лет.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Состав разделов документации и требования к их содержанию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/>
              </w:rPr>
              <w:t>2. Исполнительная документация в составе: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/>
              </w:rPr>
              <w:t>- свидетельство, выданное саморегулируемой организацией на выполнение строительно-монтажных работ,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/>
              </w:rPr>
              <w:t>- общий журнал работ, в котором отражается последовательность выполнения объемов, ответственные исполнители, материалы.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журнал сварочных работ</w:t>
            </w:r>
          </w:p>
          <w:p>
            <w:pPr>
              <w:pStyle w:val="Normal"/>
              <w:tabs>
                <w:tab w:val="clear" w:pos="708"/>
                <w:tab w:val="left" w:pos="2805" w:leader="none"/>
              </w:tabs>
              <w:snapToGrid w:val="false"/>
              <w:jc w:val="both"/>
              <w:rPr/>
            </w:pPr>
            <w:r>
              <w:rPr/>
              <w:t>- акты на скрытые работы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исполнительная схема, включая исполнительную схему монтажа системы автоматизации (в комплекте со спецификацией оборудования КИПиА)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монтажная схема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 xml:space="preserve"> </w:t>
            </w:r>
            <w:r>
              <w:rPr/>
              <w:t>- акт окончания работ по монтажу оборудования КИП и систем автоматизации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акт окончания испытаний и приемки в эксплуатацию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сертификаты на применяемые материалы, кабельную продукцию и смонтированное оборудование.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паспорта на смонтированное оборудование КИПиА.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действующие свидетельства о поверке на смонтированные средства измерения.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- акт выполненных работ по форме КС-2, спра</w:t>
            </w:r>
            <w:bookmarkStart w:id="1" w:name="_GoBack"/>
            <w:bookmarkEnd w:id="1"/>
            <w:r>
              <w:rPr>
                <w:rFonts w:cs="Tahoma"/>
              </w:rPr>
              <w:t xml:space="preserve">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Оформление принимаемых решений в ходе выполнения работ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технологическим решениям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Исходные данные для выполнения работ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/>
              </w:rPr>
              <w:t>Проекты: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sz w:val="24"/>
                <w:szCs w:val="24"/>
              </w:rPr>
              <w:t>ПР-ИР-20-АС, ПР-ИР-20-АСУУ, ПР-ИР-20-ПНР.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сметной документации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Сметная документация предоставляется с прилагаемой экспертизой,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природоохранным мероприятиям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/>
            </w:pPr>
            <w:r>
              <w:rPr>
                <w:rFonts w:cs="Tahoma"/>
              </w:rPr>
              <w:t>В соответствии с требованиями природоохранных документов, Законодательства и проектом. 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проектами: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sz w:val="24"/>
                <w:szCs w:val="24"/>
              </w:rPr>
              <w:t>ПР-ИР-20-АС,ПР-ИР-20-АСУУ, ПР-ИР-20-ПНР.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проектами: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sz w:val="24"/>
                <w:szCs w:val="24"/>
              </w:rPr>
              <w:t>ПР-ИР-20-АС,ПР-ИР-20-АСУУ, ПР-ИР-20-ПНР.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Технические требования к технологическому оборудованию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В соответствии с проектами: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sz w:val="24"/>
                <w:szCs w:val="24"/>
              </w:rPr>
              <w:t>ПР-ИР-20-АС,ПР-ИР-20-АСУУ, ПР-ИР-20-ПНР.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по утилизации (захоронению) отходов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>
                <w:rFonts w:cs="Tahoma"/>
              </w:rPr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и чёрных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Сроки выполнения работ (по основным этапам)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60 календарных дней с с момента допуска на объект для проведения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по согласованию проектной документации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contextualSpacing/>
              <w:jc w:val="both"/>
              <w:rPr/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numPr>
                <w:ilvl w:val="0"/>
                <w:numId w:val="1"/>
              </w:numPr>
              <w:snapToGrid w:val="false"/>
              <w:spacing w:before="0" w:after="80"/>
              <w:jc w:val="both"/>
              <w:rPr/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Дополнительные требования и особые условия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80" w:after="0"/>
              <w:jc w:val="both"/>
              <w:rPr/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  <w:r>
              <w:rPr>
                <w:rFonts w:cs="Tahoma" w:ascii="Tahoma" w:hAnsi="Tahoma"/>
                <w:sz w:val="20"/>
              </w:rPr>
              <w:t xml:space="preserve"> </w:t>
            </w:r>
            <w:r>
              <w:rPr>
                <w:rFonts w:cs="Tahoma"/>
              </w:rPr>
              <w:t>Разрешение на строительство не требуется.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2.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3.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4.</w:t>
            </w:r>
            <w:r>
              <w:rPr>
                <w:rFonts w:cs="Tahoma" w:ascii="Tahoma" w:hAnsi="Tahoma"/>
              </w:rPr>
              <w:t xml:space="preserve"> </w:t>
            </w:r>
            <w:r>
              <w:rPr>
                <w:rFonts w:cs="Tahoma"/>
              </w:rPr>
              <w:t>Гарантия на выполненные работы 5 лет.</w:t>
            </w:r>
          </w:p>
        </w:tc>
      </w:tr>
    </w:tbl>
    <w:p>
      <w:pPr>
        <w:pStyle w:val="Normal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ind w:left="-567" w:hanging="0"/>
        <w:rPr/>
      </w:pPr>
      <w:r>
        <w:rPr/>
      </w:r>
    </w:p>
    <w:p>
      <w:pPr>
        <w:pStyle w:val="Normal"/>
        <w:ind w:left="-567" w:hanging="0"/>
        <w:rPr/>
      </w:pPr>
      <w:r>
        <w:rPr/>
      </w:r>
    </w:p>
    <w:p>
      <w:pPr>
        <w:pStyle w:val="Normal"/>
        <w:widowControl/>
        <w:bidi w:val="0"/>
        <w:spacing w:before="0" w:after="0"/>
        <w:ind w:left="-567" w:right="-397" w:hanging="0"/>
        <w:jc w:val="left"/>
        <w:rPr/>
      </w:pPr>
      <w:r>
        <w:rPr>
          <w:rFonts w:cs="Tahoma"/>
        </w:rPr>
        <w:t>Первый заместитель главного управляющего директора                                                   Д.С. Ракицкий</w:t>
      </w:r>
    </w:p>
    <w:p>
      <w:pPr>
        <w:pStyle w:val="Normal"/>
        <w:spacing w:before="0" w:after="240"/>
        <w:ind w:left="-567" w:hanging="0"/>
        <w:rPr>
          <w:rFonts w:ascii="Tahoma" w:hAnsi="Tahoma" w:cs="Tahoma"/>
          <w:sz w:val="20"/>
          <w:szCs w:val="20"/>
        </w:rPr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spacing w:before="0" w:after="240"/>
        <w:ind w:left="-567" w:hanging="0"/>
        <w:rPr>
          <w:rFonts w:cs="Tahoma"/>
        </w:rPr>
      </w:pPr>
      <w:r>
        <w:rPr>
          <w:rFonts w:cs="Tahoma"/>
        </w:rPr>
      </w:r>
    </w:p>
    <w:p>
      <w:pPr>
        <w:pStyle w:val="Normal"/>
        <w:spacing w:before="0" w:after="240"/>
        <w:ind w:left="-567" w:hanging="0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spacing w:before="0" w:after="240"/>
        <w:ind w:left="-567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240"/>
        <w:ind w:left="-567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240"/>
        <w:ind w:left="-567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andard"/>
        <w:spacing w:lineRule="auto" w:line="36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 w:customStyle="1">
    <w:name w:val="Heading 1"/>
    <w:basedOn w:val="Normal"/>
    <w:link w:val="1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с отступом 2 Знак"/>
    <w:basedOn w:val="DefaultParagraphFont"/>
    <w:link w:val="2"/>
    <w:qFormat/>
    <w:rsid w:val="00ea4c97"/>
    <w:rPr>
      <w:sz w:val="24"/>
      <w:szCs w:val="24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ea4c97"/>
    <w:rPr>
      <w:rFonts w:ascii="Arial" w:hAnsi="Arial"/>
      <w:sz w:val="24"/>
    </w:rPr>
  </w:style>
  <w:style w:type="character" w:styleId="11" w:customStyle="1">
    <w:name w:val="Заголовок 1 Знак"/>
    <w:basedOn w:val="DefaultParagraphFont"/>
    <w:link w:val="Heading1"/>
    <w:qFormat/>
    <w:rsid w:val="00cb2bf4"/>
    <w:rPr>
      <w:rFonts w:ascii="Arial" w:hAnsi="Arial" w:cs="Arial"/>
      <w:b/>
      <w:bCs/>
      <w:sz w:val="24"/>
      <w:szCs w:val="24"/>
    </w:rPr>
  </w:style>
  <w:style w:type="paragraph" w:styleId="Style15" w:customStyle="1">
    <w:name w:val="Заголовок"/>
    <w:basedOn w:val="Normal"/>
    <w:next w:val="Style16"/>
    <w:qFormat/>
    <w:rsid w:val="002d5b34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7">
    <w:name w:val="List"/>
    <w:basedOn w:val="Style16"/>
    <w:rsid w:val="002d5b34"/>
    <w:pPr/>
    <w:rPr>
      <w:rFonts w:cs="Mangal"/>
    </w:rPr>
  </w:style>
  <w:style w:type="paragraph" w:styleId="Style18" w:customStyle="1">
    <w:name w:val="Caption"/>
    <w:basedOn w:val="Normal"/>
    <w:qFormat/>
    <w:rsid w:val="002d5b34"/>
    <w:pPr>
      <w:suppressLineNumbers/>
      <w:spacing w:before="120" w:after="120"/>
    </w:pPr>
    <w:rPr>
      <w:rFonts w:cs="Mangal"/>
      <w:i/>
      <w:iCs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2d5b34"/>
    <w:pPr>
      <w:suppressLineNumbers/>
    </w:pPr>
    <w:rPr>
      <w:rFonts w:cs="Mangal"/>
    </w:rPr>
  </w:style>
  <w:style w:type="paragraph" w:styleId="Style20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2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1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99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Indent2">
    <w:name w:val="Body Text Indent 2"/>
    <w:basedOn w:val="Normal"/>
    <w:qFormat/>
    <w:rsid w:val="00ea4c97"/>
    <w:pPr>
      <w:spacing w:lineRule="auto" w:line="480" w:before="0" w:after="120"/>
      <w:ind w:left="283" w:hanging="0"/>
    </w:pPr>
    <w:rPr/>
  </w:style>
  <w:style w:type="paragraph" w:styleId="Style22">
    <w:name w:val="Верхний и нижний колонтитулы"/>
    <w:basedOn w:val="Normal"/>
    <w:qFormat/>
    <w:pPr/>
    <w:rPr/>
  </w:style>
  <w:style w:type="paragraph" w:styleId="Style23" w:customStyle="1">
    <w:name w:val="Header"/>
    <w:basedOn w:val="Normal"/>
    <w:uiPriority w:val="99"/>
    <w:rsid w:val="00ea4c97"/>
    <w:pPr>
      <w:tabs>
        <w:tab w:val="clear" w:pos="708"/>
        <w:tab w:val="center" w:pos="4677" w:leader="none"/>
        <w:tab w:val="right" w:pos="9355" w:leader="none"/>
      </w:tabs>
      <w:textAlignment w:val="baseline"/>
    </w:pPr>
    <w:rPr>
      <w:rFonts w:ascii="Arial" w:hAnsi="Arial"/>
      <w:szCs w:val="20"/>
    </w:rPr>
  </w:style>
  <w:style w:type="paragraph" w:styleId="Standard" w:customStyle="1">
    <w:name w:val="Standard"/>
    <w:qFormat/>
    <w:rsid w:val="007474f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00000A"/>
      <w:kern w:val="0"/>
      <w:sz w:val="24"/>
      <w:szCs w:val="24"/>
      <w:lang w:val="ru-RU" w:eastAsia="ru-RU" w:bidi="ar-SA"/>
    </w:rPr>
  </w:style>
  <w:style w:type="paragraph" w:styleId="21" w:customStyle="1">
    <w:name w:val="Основной текст с отступом 21"/>
    <w:basedOn w:val="Normal"/>
    <w:qFormat/>
    <w:rsid w:val="00765183"/>
    <w:pPr>
      <w:suppressAutoHyphens w:val="true"/>
      <w:ind w:firstLine="720"/>
      <w:jc w:val="center"/>
      <w:textAlignment w:val="baseline"/>
    </w:pPr>
    <w:rPr>
      <w:b/>
      <w:bCs/>
      <w:szCs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E2795-16D8-4CF4-B62B-CB18E724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Application>LibreOffice/6.3.4.2$Windows_X86_64 LibreOffice_project/60da17e045e08f1793c57c00ba83cdfce946d0aa</Application>
  <Pages>4</Pages>
  <Words>961</Words>
  <Characters>6998</Characters>
  <CharactersWithSpaces>8132</CharactersWithSpaces>
  <Paragraphs>130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2014-06-10T13:00:00Z</dcterms:created>
  <dc:creator>WASQ</dc:creator>
  <dc:description/>
  <dc:language>ru-RU</dc:language>
  <cp:lastModifiedBy/>
  <cp:lastPrinted>2021-03-22T11:04:53Z</cp:lastPrinted>
  <dcterms:modified xsi:type="dcterms:W3CDTF">2021-04-07T08:05:37Z</dcterms:modified>
  <cp:revision>121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